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Current smoking (odds ratio per 1-SD 1.05 (95% CI 0.86 to 1.28), false discovery rate q 0.691)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0.86 to 1.28)</w:t>
            </w:r>
          </w:p>
        </w:tc>
        <w:tc>
          <w:tcPr>
            <w:tcW w:type="dxa" w:w="1234"/>
          </w:tcPr>
          <w:p>
            <w:r>
              <w:t>0.646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262.7</w:t>
            </w:r>
          </w:p>
        </w:tc>
        <w:tc>
          <w:tcPr>
            <w:tcW w:type="dxa" w:w="2160"/>
          </w:tcPr>
          <w:p>
            <w:r>
              <w:t>263.2</w:t>
            </w:r>
          </w:p>
        </w:tc>
        <w:tc>
          <w:tcPr>
            <w:tcW w:type="dxa" w:w="2160"/>
          </w:tcPr>
          <w:p>
            <w:r>
              <w:t>260.5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