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Current smoking (odds ratio 1.01 (95% CI 0.85 to 1.20), false discovery rate q 0.936)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0.85 to 1.20)</w:t>
            </w:r>
          </w:p>
        </w:tc>
        <w:tc>
          <w:tcPr>
            <w:tcW w:type="dxa" w:w="1234"/>
          </w:tcPr>
          <w:p>
            <w:r>
              <w:t>0.925</w:t>
            </w:r>
          </w:p>
        </w:tc>
        <w:tc>
          <w:tcPr>
            <w:tcW w:type="dxa" w:w="1234"/>
          </w:tcPr>
          <w:p>
            <w:r>
              <w:t>0.936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12.6%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