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Current smoking (odds ratio per 1-SD 1.09 (95% CI 0.99 to 1.20), false discovery rate q 0.123)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0.99 to 1.20)</w:t>
            </w:r>
          </w:p>
        </w:tc>
        <w:tc>
          <w:tcPr>
            <w:tcW w:type="dxa" w:w="1234"/>
          </w:tcPr>
          <w:p>
            <w:r>
              <w:t>0.094</w:t>
            </w:r>
          </w:p>
        </w:tc>
        <w:tc>
          <w:tcPr>
            <w:tcW w:type="dxa" w:w="1234"/>
          </w:tcPr>
          <w:p>
            <w:r>
              <w:t>0.123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96.1</w:t>
            </w:r>
          </w:p>
        </w:tc>
        <w:tc>
          <w:tcPr>
            <w:tcW w:type="dxa" w:w="2160"/>
          </w:tcPr>
          <w:p>
            <w:r>
              <w:t>95.1</w:t>
            </w:r>
          </w:p>
        </w:tc>
        <w:tc>
          <w:tcPr>
            <w:tcW w:type="dxa" w:w="2160"/>
          </w:tcPr>
          <w:p>
            <w:r>
              <w:t>100.4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