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inversely associated with Current smoking (odds ratio 0.99 (95% CI 0.81 to 1.21), false discovery rate q 0.930)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0.81 to 1.21)</w:t>
            </w:r>
          </w:p>
        </w:tc>
        <w:tc>
          <w:tcPr>
            <w:tcW w:type="dxa" w:w="1234"/>
          </w:tcPr>
          <w:p>
            <w:r>
              <w:t>0.917</w:t>
            </w:r>
          </w:p>
        </w:tc>
        <w:tc>
          <w:tcPr>
            <w:tcW w:type="dxa" w:w="1234"/>
          </w:tcPr>
          <w:p>
            <w:r>
              <w:t>0.930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9.5%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