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AST (&gt;40 IU/L) and Current smoking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Elevated AST (&gt;40 IU/L) was positively associated with Current smoking (odds ratio 1.25 (95% CI 1.03 to 1.53), false discovery rate q 0.039) among 26876 adults aged 20 years or older (a weighted Current smoking prevalence of 19.5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1.25 (95% CI 1.03 to 1.53)</w:t>
            </w:r>
          </w:p>
        </w:tc>
        <w:tc>
          <w:tcPr>
            <w:tcW w:type="dxa" w:w="1234"/>
          </w:tcPr>
          <w:p>
            <w:r>
              <w:t>0.027</w:t>
            </w:r>
          </w:p>
        </w:tc>
        <w:tc>
          <w:tcPr>
            <w:tcW w:type="dxa" w:w="1234"/>
          </w:tcPr>
          <w:p>
            <w:r>
              <w:t>0.039</w:t>
            </w:r>
          </w:p>
        </w:tc>
        <w:tc>
          <w:tcPr>
            <w:tcW w:type="dxa" w:w="1234"/>
          </w:tcPr>
          <w:p>
            <w:r>
              <w:t>26876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Current smoking</w:t>
            </w:r>
          </w:p>
        </w:tc>
        <w:tc>
          <w:tcPr>
            <w:tcW w:type="dxa" w:w="2160"/>
          </w:tcPr>
          <w:p>
            <w:r>
              <w:t>Current smoking</w:t>
            </w:r>
          </w:p>
        </w:tc>
      </w:tr>
      <w:tr>
        <w:tc>
          <w:tcPr>
            <w:tcW w:type="dxa" w:w="2160"/>
          </w:tcPr>
          <w:p>
            <w:r>
              <w:t>Elevated AST (&gt;40 IU/L) (exposure)</w:t>
            </w:r>
          </w:p>
        </w:tc>
        <w:tc>
          <w:tcPr>
            <w:tcW w:type="dxa" w:w="2160"/>
          </w:tcPr>
          <w:p>
            <w:r>
              <w:t>5.3%</w:t>
            </w:r>
          </w:p>
        </w:tc>
        <w:tc>
          <w:tcPr>
            <w:tcW w:type="dxa" w:w="2160"/>
          </w:tcPr>
          <w:p>
            <w:r>
              <w:t>4.8%</w:t>
            </w:r>
          </w:p>
        </w:tc>
        <w:tc>
          <w:tcPr>
            <w:tcW w:type="dxa" w:w="2160"/>
          </w:tcPr>
          <w:p>
            <w:r>
              <w:t>7.1%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48.4</w:t>
            </w:r>
          </w:p>
        </w:tc>
        <w:tc>
          <w:tcPr>
            <w:tcW w:type="dxa" w:w="2160"/>
          </w:tcPr>
          <w:p>
            <w:r>
              <w:t>43.5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46.4%</w:t>
            </w:r>
          </w:p>
        </w:tc>
        <w:tc>
          <w:tcPr>
            <w:tcW w:type="dxa" w:w="2160"/>
          </w:tcPr>
          <w:p>
            <w:r>
              <w:t>54.7%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29.4%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80.6%</w:t>
            </w:r>
          </w:p>
        </w:tc>
        <w:tc>
          <w:tcPr>
            <w:tcW w:type="dxa" w:w="2160"/>
          </w:tcPr>
          <w:p>
            <w:r>
              <w:t>78.4%</w:t>
            </w:r>
          </w:p>
        </w:tc>
        <w:tc>
          <w:tcPr>
            <w:tcW w:type="dxa" w:w="2160"/>
          </w:tcPr>
          <w:p>
            <w:r>
              <w:t>90.0%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29.3</w:t>
            </w:r>
          </w:p>
        </w:tc>
        <w:tc>
          <w:tcPr>
            <w:tcW w:type="dxa" w:w="2160"/>
          </w:tcPr>
          <w:p>
            <w:r>
              <w:t>28.0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