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Current smoking (odds ratio per 1-SD 1.02 (95% CI 0.95 to 1.10), false discovery rate q 0.603)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0.95 to 1.10)</w:t>
            </w:r>
          </w:p>
        </w:tc>
        <w:tc>
          <w:tcPr>
            <w:tcW w:type="dxa" w:w="1234"/>
          </w:tcPr>
          <w:p>
            <w:r>
              <w:t>0.547</w:t>
            </w:r>
          </w:p>
        </w:tc>
        <w:tc>
          <w:tcPr>
            <w:tcW w:type="dxa" w:w="1234"/>
          </w:tcPr>
          <w:p>
            <w:r>
              <w:t>0.603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107.2</w:t>
            </w:r>
          </w:p>
        </w:tc>
        <w:tc>
          <w:tcPr>
            <w:tcW w:type="dxa" w:w="2160"/>
          </w:tcPr>
          <w:p>
            <w:r>
              <w:t>106.1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