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Current smoking (odds ratio per 1-SD 0.95 (95% CI 0.86 to 1.04), false discovery rate q 0.326)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0.86 to 1.04)</w:t>
            </w:r>
          </w:p>
        </w:tc>
        <w:tc>
          <w:tcPr>
            <w:tcW w:type="dxa" w:w="1234"/>
          </w:tcPr>
          <w:p>
            <w:r>
              <w:t>0.273</w:t>
            </w:r>
          </w:p>
        </w:tc>
        <w:tc>
          <w:tcPr>
            <w:tcW w:type="dxa" w:w="1234"/>
          </w:tcPr>
          <w:p>
            <w:r>
              <w:t>0.326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