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Current smoking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HDL cholesterol, mg/dL was inversely associated with Current smoking (odds ratio per 1-SD 0.79 (95% CI 0.73 to 0.85), false discovery rate q &lt;0.001) among 26876 adults aged 20 years or older (a weighted Current smoking prevalence of 19.5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0.79 (95% CI 0.73 to 0.85)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HDL cholesterol, mg/dL (exposure)</w:t>
            </w:r>
          </w:p>
        </w:tc>
        <w:tc>
          <w:tcPr>
            <w:tcW w:type="dxa" w:w="2160"/>
          </w:tcPr>
          <w:p>
            <w:r>
              <w:t>53.7</w:t>
            </w:r>
          </w:p>
        </w:tc>
        <w:tc>
          <w:tcPr>
            <w:tcW w:type="dxa" w:w="2160"/>
          </w:tcPr>
          <w:p>
            <w:r>
              <w:t>54.3</w:t>
            </w:r>
          </w:p>
        </w:tc>
        <w:tc>
          <w:tcPr>
            <w:tcW w:type="dxa" w:w="2160"/>
          </w:tcPr>
          <w:p>
            <w:r>
              <w:t>51.4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48.4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46.4%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29.4%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78.4%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29.3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