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Current smoking (odds ratio per 1-SD 0.94 (95% CI 0.87 to 1.01), false discovery rate q 0.141)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1.01)</w:t>
            </w:r>
          </w:p>
        </w:tc>
        <w:tc>
          <w:tcPr>
            <w:tcW w:type="dxa" w:w="1234"/>
          </w:tcPr>
          <w:p>
            <w:r>
              <w:t>0.109</w:t>
            </w:r>
          </w:p>
        </w:tc>
        <w:tc>
          <w:tcPr>
            <w:tcW w:type="dxa" w:w="1234"/>
          </w:tcPr>
          <w:p>
            <w:r>
              <w:t>0.141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168.4</w:t>
            </w:r>
          </w:p>
        </w:tc>
        <w:tc>
          <w:tcPr>
            <w:tcW w:type="dxa" w:w="2160"/>
          </w:tcPr>
          <w:p>
            <w:r>
              <w:t>168.0</w:t>
            </w:r>
          </w:p>
        </w:tc>
        <w:tc>
          <w:tcPr>
            <w:tcW w:type="dxa" w:w="2160"/>
          </w:tcPr>
          <w:p>
            <w:r>
              <w:t>169.8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