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inversely associated with Current smoking (odds ratio 0.89 (95% CI 0.62 to 1.28), false discovery rate q 0.611)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0.62 to 1.28)</w:t>
            </w:r>
          </w:p>
        </w:tc>
        <w:tc>
          <w:tcPr>
            <w:tcW w:type="dxa" w:w="1234"/>
          </w:tcPr>
          <w:p>
            <w:r>
              <w:t>0.556</w:t>
            </w:r>
          </w:p>
        </w:tc>
        <w:tc>
          <w:tcPr>
            <w:tcW w:type="dxa" w:w="1234"/>
          </w:tcPr>
          <w:p>
            <w:r>
              <w:t>0.611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  <w:tc>
          <w:tcPr>
            <w:tcW w:type="dxa" w:w="2160"/>
          </w:tcPr>
          <w:p>
            <w:r>
              <w:t>56.8%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