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inversely associated with Current smoking (odds ratio 0.72 (95% CI 0.59 to 0.88), false discovery rate q 0.004) among 26876 adults aged 20 years or older (a weighted Current smoking prevalence of 19.5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0.72 (95% CI 0.59 to 0.88)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High body fat (M&gt;=25/F&gt;=35%) (exposure)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  <w:tc>
          <w:tcPr>
            <w:tcW w:type="dxa" w:w="2160"/>
          </w:tcPr>
          <w:p>
            <w:r>
              <w:t>70.6%</w:t>
            </w:r>
          </w:p>
        </w:tc>
        <w:tc>
          <w:tcPr>
            <w:tcW w:type="dxa" w:w="2160"/>
          </w:tcPr>
          <w:p>
            <w:r>
              <w:t>64.9%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