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Current smoking (odds ratio per 1-SD 1.10 (95% CI 1.02 to 1.18), false discovery rate q 0.020)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1.02 to 1.18)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0.020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113.7</w:t>
            </w:r>
          </w:p>
        </w:tc>
        <w:tc>
          <w:tcPr>
            <w:tcW w:type="dxa" w:w="2160"/>
          </w:tcPr>
          <w:p>
            <w:r>
              <w:t>113.4</w:t>
            </w:r>
          </w:p>
        </w:tc>
        <w:tc>
          <w:tcPr>
            <w:tcW w:type="dxa" w:w="2160"/>
          </w:tcPr>
          <w:p>
            <w:r>
              <w:t>114.9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