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positively associated with Current smoking (odds ratio 3.61 (95% CI 2.83 to 4.60), false discovery rate q &lt;0.001) among 26876 adults aged 20 years or older (a weighted Current smoking prevalence of 19.5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3.61 (95% CI 2.83 to 4.60)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4.9%</w:t>
            </w:r>
          </w:p>
        </w:tc>
        <w:tc>
          <w:tcPr>
            <w:tcW w:type="dxa" w:w="2160"/>
          </w:tcPr>
          <w:p>
            <w:r>
              <w:t>3.5%</w:t>
            </w:r>
          </w:p>
        </w:tc>
        <w:tc>
          <w:tcPr>
            <w:tcW w:type="dxa" w:w="2160"/>
          </w:tcPr>
          <w:p>
            <w:r>
              <w:t>11.0%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