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positively associated with Current smoking (odds ratio per 1-SD 1.07 (95% CI 0.95 to 1.20), false discovery rate q 0.339)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0.95 to 1.20)</w:t>
            </w:r>
          </w:p>
        </w:tc>
        <w:tc>
          <w:tcPr>
            <w:tcW w:type="dxa" w:w="1234"/>
          </w:tcPr>
          <w:p>
            <w:r>
              <w:t>0.286</w:t>
            </w:r>
          </w:p>
        </w:tc>
        <w:tc>
          <w:tcPr>
            <w:tcW w:type="dxa" w:w="1234"/>
          </w:tcPr>
          <w:p>
            <w:r>
              <w:t>0.339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Liver stiffness, kPa (exposure)</w:t>
            </w:r>
          </w:p>
        </w:tc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6.0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