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MASLD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MASLD was inversely associated with Current smoking (odds ratio 0.68 (95% CI 0.48 to 0.96), false discovery rate q 0.075) among 26876 adults aged 20 years or older (a weighted Current smoking prevalence of 19.5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0.68 (95% CI 0.48 to 0.96)</w:t>
            </w:r>
          </w:p>
        </w:tc>
        <w:tc>
          <w:tcPr>
            <w:tcW w:type="dxa" w:w="1234"/>
          </w:tcPr>
          <w:p>
            <w:r>
              <w:t>0.054</w:t>
            </w:r>
          </w:p>
        </w:tc>
        <w:tc>
          <w:tcPr>
            <w:tcW w:type="dxa" w:w="1234"/>
          </w:tcPr>
          <w:p>
            <w:r>
              <w:t>0.075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MASLD (exposure)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53.2%</w:t>
            </w:r>
          </w:p>
        </w:tc>
        <w:tc>
          <w:tcPr>
            <w:tcW w:type="dxa" w:w="2160"/>
          </w:tcPr>
          <w:p>
            <w:r>
              <w:t>41.2%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