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Current smoking (odds ratio 1.38 (95% CI 1.11 to 1.72), false discovery rate q 0.007)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1.11 to 1.72)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37.7%</w:t>
            </w:r>
          </w:p>
        </w:tc>
        <w:tc>
          <w:tcPr>
            <w:tcW w:type="dxa" w:w="2160"/>
          </w:tcPr>
          <w:p>
            <w:r>
              <w:t>36.8%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