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inversely associated with Current smoking (odds ratio 0.67 (95% CI 0.60 to 0.75),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0.67 (95% CI 0.60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38.1%</w:t>
            </w:r>
          </w:p>
        </w:tc>
        <w:tc>
          <w:tcPr>
            <w:tcW w:type="dxa" w:w="2160"/>
          </w:tcPr>
          <w:p>
            <w:r>
              <w:t>31.8%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