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Current smoking (odds ratio 0.54 (95% CI 0.48 to 0.62),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0.48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72.0%</w:t>
            </w:r>
          </w:p>
        </w:tc>
        <w:tc>
          <w:tcPr>
            <w:tcW w:type="dxa" w:w="2160"/>
          </w:tcPr>
          <w:p>
            <w:r>
              <w:t>62.8%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