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Current smoking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Serum 25(OH)D, ng/mL was inversely associated with Current smoking (odds ratio per 1-SD 0.72 (95% CI 0.67 to 0.78), false discovery rate q &lt;0.001) among 26876 adults aged 20 years or older (a weighted Current smoking prevalence of 19.5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0.72 (95% CI 0.67 to 0.78)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Serum 25(OH)D, ng/mL (exposure)</w:t>
            </w:r>
          </w:p>
        </w:tc>
        <w:tc>
          <w:tcPr>
            <w:tcW w:type="dxa" w:w="2160"/>
          </w:tcPr>
          <w:p>
            <w:r>
              <w:t>28.2</w:t>
            </w:r>
          </w:p>
        </w:tc>
        <w:tc>
          <w:tcPr>
            <w:tcW w:type="dxa" w:w="2160"/>
          </w:tcPr>
          <w:p>
            <w:r>
              <w:t>28.7</w:t>
            </w:r>
          </w:p>
        </w:tc>
        <w:tc>
          <w:tcPr>
            <w:tcW w:type="dxa" w:w="2160"/>
          </w:tcPr>
          <w:p>
            <w:r>
              <w:t>26.3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48.4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46.4%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29.4%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78.4%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29.3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