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Serum creatinine, mg/dL and Current smoking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Serum creatinine, mg/dL was inversely associated with Current smoking (odds ratio per 1-SD 0.87 (95% CI 0.77 to 0.98), false discovery rate q 0.042) among 26876 adults aged 20 years or older (a weighted Current smoking prevalence of 19.5 percent, 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Serum creatinine, mg/dL</w:t>
            </w:r>
          </w:p>
        </w:tc>
        <w:tc>
          <w:tcPr>
            <w:tcW w:type="dxa" w:w="1234"/>
          </w:tcPr>
          <w:p>
            <w:r>
              <w:t>Current smoking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0.87 (95% CI 0.77 to 0.98)</w:t>
            </w:r>
          </w:p>
        </w:tc>
        <w:tc>
          <w:tcPr>
            <w:tcW w:type="dxa" w:w="1234"/>
          </w:tcPr>
          <w:p>
            <w:r>
              <w:t>0.029</w:t>
            </w:r>
          </w:p>
        </w:tc>
        <w:tc>
          <w:tcPr>
            <w:tcW w:type="dxa" w:w="1234"/>
          </w:tcPr>
          <w:p>
            <w:r>
              <w:t>0.042</w:t>
            </w:r>
          </w:p>
        </w:tc>
        <w:tc>
          <w:tcPr>
            <w:tcW w:type="dxa" w:w="1234"/>
          </w:tcPr>
          <w:p>
            <w:r>
              <w:t>26876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Current smoking</w:t>
            </w:r>
          </w:p>
        </w:tc>
        <w:tc>
          <w:tcPr>
            <w:tcW w:type="dxa" w:w="2160"/>
          </w:tcPr>
          <w:p>
            <w:r>
              <w:t>Current smoking</w:t>
            </w:r>
          </w:p>
        </w:tc>
      </w:tr>
      <w:tr>
        <w:tc>
          <w:tcPr>
            <w:tcW w:type="dxa" w:w="2160"/>
          </w:tcPr>
          <w:p>
            <w:r>
              <w:t>Serum creatinine, mg/dL (exposure)</w:t>
            </w:r>
          </w:p>
        </w:tc>
        <w:tc>
          <w:tcPr>
            <w:tcW w:type="dxa" w:w="2160"/>
          </w:tcPr>
          <w:p>
            <w:r>
              <w:t>0.9</w:t>
            </w:r>
          </w:p>
        </w:tc>
        <w:tc>
          <w:tcPr>
            <w:tcW w:type="dxa" w:w="2160"/>
          </w:tcPr>
          <w:p>
            <w:r>
              <w:t>0.9</w:t>
            </w:r>
          </w:p>
        </w:tc>
        <w:tc>
          <w:tcPr>
            <w:tcW w:type="dxa" w:w="2160"/>
          </w:tcPr>
          <w:p>
            <w:r>
              <w:t>0.9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48.4</w:t>
            </w:r>
          </w:p>
        </w:tc>
        <w:tc>
          <w:tcPr>
            <w:tcW w:type="dxa" w:w="2160"/>
          </w:tcPr>
          <w:p>
            <w:r>
              <w:t>43.5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48.0%</w:t>
            </w:r>
          </w:p>
        </w:tc>
        <w:tc>
          <w:tcPr>
            <w:tcW w:type="dxa" w:w="2160"/>
          </w:tcPr>
          <w:p>
            <w:r>
              <w:t>46.4%</w:t>
            </w:r>
          </w:p>
        </w:tc>
        <w:tc>
          <w:tcPr>
            <w:tcW w:type="dxa" w:w="2160"/>
          </w:tcPr>
          <w:p>
            <w:r>
              <w:t>54.7%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29.4%</w:t>
            </w:r>
          </w:p>
        </w:tc>
        <w:tc>
          <w:tcPr>
            <w:tcW w:type="dxa" w:w="2160"/>
          </w:tcPr>
          <w:p>
            <w:r>
              <w:t>100.0%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80.6%</w:t>
            </w:r>
          </w:p>
        </w:tc>
        <w:tc>
          <w:tcPr>
            <w:tcW w:type="dxa" w:w="2160"/>
          </w:tcPr>
          <w:p>
            <w:r>
              <w:t>78.4%</w:t>
            </w:r>
          </w:p>
        </w:tc>
        <w:tc>
          <w:tcPr>
            <w:tcW w:type="dxa" w:w="2160"/>
          </w:tcPr>
          <w:p>
            <w:r>
              <w:t>90.0%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29.3</w:t>
            </w:r>
          </w:p>
        </w:tc>
        <w:tc>
          <w:tcPr>
            <w:tcW w:type="dxa" w:w="2160"/>
          </w:tcPr>
          <w:p>
            <w:r>
              <w:t>28.0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