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Current smoking (odds ratio per 1-SD 1.11 (95% CI 1.04 to 1.18), false discovery rate q 0.004)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1.04 to 1.18)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  <w:tc>
          <w:tcPr>
            <w:tcW w:type="dxa" w:w="2160"/>
          </w:tcPr>
          <w:p>
            <w:r>
              <w:t>122.7</w:t>
            </w:r>
          </w:p>
        </w:tc>
        <w:tc>
          <w:tcPr>
            <w:tcW w:type="dxa" w:w="2160"/>
          </w:tcPr>
          <w:p>
            <w:r>
              <w:t>122.1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