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inversely associated with Current smoking (odds ratio per 1-SD 0.75 (95% CI 0.66 to 0.86), false discovery rate q &lt;0.001) among 26876 adults aged 20 years or older (a weighted Current smoking prevalence of 19.5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0.75 (95% CI 0.66 to 0.86)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