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Current smoking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Triglycerides, mg/dL was positively associated with Current smoking (odds ratio per 1-SD 1.20 (95% CI 1.10 to 1.30), false discovery rate q &lt;0.001) among 26876 adults aged 20 years or older (a weighted Current smoking prevalence of 19.5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1.20 (95% CI 1.10 to 1.30)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Triglycerides, mg/dL (exposure)</w:t>
            </w:r>
          </w:p>
        </w:tc>
        <w:tc>
          <w:tcPr>
            <w:tcW w:type="dxa" w:w="2160"/>
          </w:tcPr>
          <w:p>
            <w:r>
              <w:t>124.0</w:t>
            </w:r>
          </w:p>
        </w:tc>
        <w:tc>
          <w:tcPr>
            <w:tcW w:type="dxa" w:w="2160"/>
          </w:tcPr>
          <w:p>
            <w:r>
              <w:t>120.6</w:t>
            </w:r>
          </w:p>
        </w:tc>
        <w:tc>
          <w:tcPr>
            <w:tcW w:type="dxa" w:w="2160"/>
          </w:tcPr>
          <w:p>
            <w:r>
              <w:t>138.5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48.4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46.4%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29.4%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78.4%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29.3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