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inversely associated with Current smoking (odds ratio per 1-SD 0.79 (95% CI 0.75 to 0.84), false discovery rate q &lt;0.001) among 26876 adults aged 20 years or older (a weighted Current smoking prevalence of 19.5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0.79 (95% CI 0.75 to 0.84)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99.1</w:t>
            </w:r>
          </w:p>
        </w:tc>
        <w:tc>
          <w:tcPr>
            <w:tcW w:type="dxa" w:w="2160"/>
          </w:tcPr>
          <w:p>
            <w:r>
              <w:t>99.6</w:t>
            </w:r>
          </w:p>
        </w:tc>
        <w:tc>
          <w:tcPr>
            <w:tcW w:type="dxa" w:w="2160"/>
          </w:tcPr>
          <w:p>
            <w:r>
              <w:t>97.3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