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inversely associated with Current smoking (odds ratio per 1-SD 0.80 (95% CI 0.75 to 0.85), false discovery rate q &lt;0.001) among 26876 adults aged 20 years or older (a weighted Current smoking prevalence of 19.5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0.80 (95% CI 0.75 to 0.85)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Waist-to-height ratio (exposure)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