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inversely associated with Current smoking (odds ratio per 1-SD 0.74 (95% CI 0.69 to 0.79),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0.69 to 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83.1</w:t>
            </w:r>
          </w:p>
        </w:tc>
        <w:tc>
          <w:tcPr>
            <w:tcW w:type="dxa" w:w="2160"/>
          </w:tcPr>
          <w:p>
            <w:r>
              <w:t>80.7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