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White blood cell count, 10^3/uL and Current smoking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White blood cell count, 10^3/uL was positively associated with Current smoking (odds ratio per 1-SD 2.34 (95% CI 2.06 to 2.65), false discovery rate q &lt;0.001) among 26876 adults aged 20 years or older (a weighted Current smoking prevalence of 19.5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2.34 (95% CI 2.06 to 2.65)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Current smoking</w:t>
            </w:r>
          </w:p>
        </w:tc>
        <w:tc>
          <w:tcPr>
            <w:tcW w:type="dxa" w:w="2160"/>
          </w:tcPr>
          <w:p>
            <w:r>
              <w:t>Current smoking</w:t>
            </w:r>
          </w:p>
        </w:tc>
      </w:tr>
      <w:tr>
        <w:tc>
          <w:tcPr>
            <w:tcW w:type="dxa" w:w="2160"/>
          </w:tcPr>
          <w:p>
            <w:r>
              <w:t>White blood cell count, 10^3/uL (exposure)</w:t>
            </w:r>
          </w:p>
        </w:tc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7.0</w:t>
            </w:r>
          </w:p>
        </w:tc>
        <w:tc>
          <w:tcPr>
            <w:tcW w:type="dxa" w:w="2160"/>
          </w:tcPr>
          <w:p>
            <w:r>
              <w:t>8.2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48.4</w:t>
            </w:r>
          </w:p>
        </w:tc>
        <w:tc>
          <w:tcPr>
            <w:tcW w:type="dxa" w:w="2160"/>
          </w:tcPr>
          <w:p>
            <w:r>
              <w:t>43.5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46.4%</w:t>
            </w:r>
          </w:p>
        </w:tc>
        <w:tc>
          <w:tcPr>
            <w:tcW w:type="dxa" w:w="2160"/>
          </w:tcPr>
          <w:p>
            <w:r>
              <w:t>54.7%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29.4%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80.6%</w:t>
            </w:r>
          </w:p>
        </w:tc>
        <w:tc>
          <w:tcPr>
            <w:tcW w:type="dxa" w:w="2160"/>
          </w:tcPr>
          <w:p>
            <w:r>
              <w:t>78.4%</w:t>
            </w:r>
          </w:p>
        </w:tc>
        <w:tc>
          <w:tcPr>
            <w:tcW w:type="dxa" w:w="2160"/>
          </w:tcPr>
          <w:p>
            <w:r>
              <w:t>90.0%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29.3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