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Aspartate aminotransferase, IU/L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Aspartate aminotransferase, IU/L was positively associated with Diabetes mellitus (odds ratio per 1-SD 1.10 (95% CI 1.04 to 1.17), false discovery rate q 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Aspartate aminotransferase, IU/L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1.10 (95% CI 1.04 to 1.17)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Aspartate aminotransferase, IU/L (exposure)</w:t>
            </w:r>
          </w:p>
        </w:tc>
        <w:tc>
          <w:tcPr>
            <w:tcW w:type="dxa" w:w="2160"/>
          </w:tcPr>
          <w:p>
            <w:r>
              <w:t>25.0</w:t>
            </w:r>
          </w:p>
        </w:tc>
        <w:tc>
          <w:tcPr>
            <w:tcW w:type="dxa" w:w="2160"/>
          </w:tcPr>
          <w:p>
            <w:r>
              <w:t>24.8</w:t>
            </w:r>
          </w:p>
        </w:tc>
        <w:tc>
          <w:tcPr>
            <w:tcW w:type="dxa" w:w="2160"/>
          </w:tcPr>
          <w:p>
            <w:r>
              <w:t>26.3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