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Controlled attenuation parameter, dB/m and Diabetes mellitus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Controlled attenuation parameter, dB/m was positively associated with Diabetes mellitus (odds ratio per 1-SD 2.06 (95% CI 1.63 to 2.60), false discovery rate q &lt;0.001) among 25660 adults aged 20 years or older (a weighted Diabetes mellitus prevalence of 12.6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2.06 (95% CI 1.63 to 2.60)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Controlled attenuation parameter, dB/m (exposure)</w:t>
            </w:r>
          </w:p>
        </w:tc>
        <w:tc>
          <w:tcPr>
            <w:tcW w:type="dxa" w:w="2160"/>
          </w:tcPr>
          <w:p>
            <w:r>
              <w:t>263.3</w:t>
            </w:r>
          </w:p>
        </w:tc>
        <w:tc>
          <w:tcPr>
            <w:tcW w:type="dxa" w:w="2160"/>
          </w:tcPr>
          <w:p>
            <w:r>
              <w:t>256.0</w:t>
            </w:r>
          </w:p>
        </w:tc>
        <w:tc>
          <w:tcPr>
            <w:tcW w:type="dxa" w:w="2160"/>
          </w:tcPr>
          <w:p>
            <w:r>
              <w:t>310.9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59.4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47.4%</w:t>
            </w:r>
          </w:p>
        </w:tc>
        <w:tc>
          <w:tcPr>
            <w:tcW w:type="dxa" w:w="2160"/>
          </w:tcPr>
          <w:p>
            <w:r>
              <w:t>51.5%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28.5</w:t>
            </w:r>
          </w:p>
        </w:tc>
        <w:tc>
          <w:tcPr>
            <w:tcW w:type="dxa" w:w="2160"/>
          </w:tcPr>
          <w:p>
            <w:r>
              <w:t>33.4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73.7%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