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positively associated with Diabetes mellitus (odds ratio per 1-SD 1.05 (95% CI 0.96 to 1.14), false discovery rate q 0.333) among 25660 adults aged 20 years or older (a weighted Diabetes mellitus prevalence of 12.6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0.96 to 1.14)</w:t>
            </w:r>
          </w:p>
        </w:tc>
        <w:tc>
          <w:tcPr>
            <w:tcW w:type="dxa" w:w="1234"/>
          </w:tcPr>
          <w:p>
            <w:r>
              <w:t>0.280</w:t>
            </w:r>
          </w:p>
        </w:tc>
        <w:tc>
          <w:tcPr>
            <w:tcW w:type="dxa" w:w="1234"/>
          </w:tcPr>
          <w:p>
            <w:r>
              <w:t>0.333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96.1</w:t>
            </w:r>
          </w:p>
        </w:tc>
        <w:tc>
          <w:tcPr>
            <w:tcW w:type="dxa" w:w="2160"/>
          </w:tcPr>
          <w:p>
            <w:r>
              <w:t>97.6</w:t>
            </w:r>
          </w:p>
        </w:tc>
        <w:tc>
          <w:tcPr>
            <w:tcW w:type="dxa" w:w="2160"/>
          </w:tcPr>
          <w:p>
            <w:r>
              <w:t>86.2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