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Elevated AST (&gt;40 IU/L) and Diabetes mellitus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Elevated AST (&gt;40 IU/L) was positively associated with Diabetes mellitus (odds ratio 1.99 (95% CI 1.63 to 2.44), false discovery rate q &lt;0.001) among 25660 adults aged 20 years or older (a weighted Diabetes mellitus prevalence of 12.6 percent, survey-weighted). Confounders: Age, years, Male sex, Body mass index, kg/m2,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alcohol. Glycemic and insulin-resistance measures are excluded as definitional or mediating. Adjustment for this exposure: Age, years, Male sex, Body mass index, kg/m2,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Elevated AST (&gt;40 IU/L)</w:t>
            </w:r>
          </w:p>
        </w:tc>
        <w:tc>
          <w:tcPr>
            <w:tcW w:type="dxa" w:w="1234"/>
          </w:tcPr>
          <w:p>
            <w:r>
              <w:t>Diabetes mellitus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1.99 (95% CI 1.63 to 2.44)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25660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Diabetes mellitus</w:t>
            </w:r>
          </w:p>
        </w:tc>
        <w:tc>
          <w:tcPr>
            <w:tcW w:type="dxa" w:w="2160"/>
          </w:tcPr>
          <w:p>
            <w:r>
              <w:t>Diabetes mellitus</w:t>
            </w:r>
          </w:p>
        </w:tc>
      </w:tr>
      <w:tr>
        <w:tc>
          <w:tcPr>
            <w:tcW w:type="dxa" w:w="2160"/>
          </w:tcPr>
          <w:p>
            <w:r>
              <w:t>Elevated AST (&gt;40 IU/L) (exposure)</w:t>
            </w:r>
          </w:p>
        </w:tc>
        <w:tc>
          <w:tcPr>
            <w:tcW w:type="dxa" w:w="2160"/>
          </w:tcPr>
          <w:p>
            <w:r>
              <w:t>5.3%</w:t>
            </w:r>
          </w:p>
        </w:tc>
        <w:tc>
          <w:tcPr>
            <w:tcW w:type="dxa" w:w="2160"/>
          </w:tcPr>
          <w:p>
            <w:r>
              <w:t>4.8%</w:t>
            </w:r>
          </w:p>
        </w:tc>
        <w:tc>
          <w:tcPr>
            <w:tcW w:type="dxa" w:w="2160"/>
          </w:tcPr>
          <w:p>
            <w:r>
              <w:t>8.6%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47.7</w:t>
            </w:r>
          </w:p>
        </w:tc>
        <w:tc>
          <w:tcPr>
            <w:tcW w:type="dxa" w:w="2160"/>
          </w:tcPr>
          <w:p>
            <w:r>
              <w:t>46.0</w:t>
            </w:r>
          </w:p>
        </w:tc>
        <w:tc>
          <w:tcPr>
            <w:tcW w:type="dxa" w:w="2160"/>
          </w:tcPr>
          <w:p>
            <w:r>
              <w:t>59.4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47.9%</w:t>
            </w:r>
          </w:p>
        </w:tc>
        <w:tc>
          <w:tcPr>
            <w:tcW w:type="dxa" w:w="2160"/>
          </w:tcPr>
          <w:p>
            <w:r>
              <w:t>47.4%</w:t>
            </w:r>
          </w:p>
        </w:tc>
        <w:tc>
          <w:tcPr>
            <w:tcW w:type="dxa" w:w="2160"/>
          </w:tcPr>
          <w:p>
            <w:r>
              <w:t>51.5%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28.5</w:t>
            </w:r>
          </w:p>
        </w:tc>
        <w:tc>
          <w:tcPr>
            <w:tcW w:type="dxa" w:w="2160"/>
          </w:tcPr>
          <w:p>
            <w:r>
              <w:t>33.4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42.4%</w:t>
            </w:r>
          </w:p>
        </w:tc>
        <w:tc>
          <w:tcPr>
            <w:tcW w:type="dxa" w:w="2160"/>
          </w:tcPr>
          <w:p>
            <w:r>
              <w:t>48.9%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81.7%</w:t>
            </w:r>
          </w:p>
        </w:tc>
        <w:tc>
          <w:tcPr>
            <w:tcW w:type="dxa" w:w="2160"/>
          </w:tcPr>
          <w:p>
            <w:r>
              <w:t>73.7%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