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Hemoglobin, g/dL and Diabetes mellitus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Hemoglobin, g/dL was inversely associated with Diabetes mellitus (odds ratio per 1-SD 0.81 (95% CI 0.76 to 0.86), false discovery rate q &lt;0.001) among 25660 adults aged 20 years or older (a weighted Diabetes mellitus prevalence of 12.6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Glycemic and insulin-resistance measures are excluded as definitional or mediating.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Hemoglobin, g/dL</w:t>
            </w:r>
          </w:p>
        </w:tc>
        <w:tc>
          <w:tcPr>
            <w:tcW w:type="dxa" w:w="1234"/>
          </w:tcPr>
          <w:p>
            <w:r>
              <w:t>Diabetes mellitus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0.81 (95% CI 0.76 to 0.86)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25660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Diabetes mellitus</w:t>
            </w:r>
          </w:p>
        </w:tc>
        <w:tc>
          <w:tcPr>
            <w:tcW w:type="dxa" w:w="2160"/>
          </w:tcPr>
          <w:p>
            <w:r>
              <w:t>Diabetes mellitus</w:t>
            </w:r>
          </w:p>
        </w:tc>
      </w:tr>
      <w:tr>
        <w:tc>
          <w:tcPr>
            <w:tcW w:type="dxa" w:w="2160"/>
          </w:tcPr>
          <w:p>
            <w:r>
              <w:t>Hemoglobin, g/dL (exposure)</w:t>
            </w:r>
          </w:p>
        </w:tc>
        <w:tc>
          <w:tcPr>
            <w:tcW w:type="dxa" w:w="2160"/>
          </w:tcPr>
          <w:p>
            <w:r>
              <w:t>14.2</w:t>
            </w:r>
          </w:p>
        </w:tc>
        <w:tc>
          <w:tcPr>
            <w:tcW w:type="dxa" w:w="2160"/>
          </w:tcPr>
          <w:p>
            <w:r>
              <w:t>14.2</w:t>
            </w:r>
          </w:p>
        </w:tc>
        <w:tc>
          <w:tcPr>
            <w:tcW w:type="dxa" w:w="2160"/>
          </w:tcPr>
          <w:p>
            <w:r>
              <w:t>14.0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47.7</w:t>
            </w:r>
          </w:p>
        </w:tc>
        <w:tc>
          <w:tcPr>
            <w:tcW w:type="dxa" w:w="2160"/>
          </w:tcPr>
          <w:p>
            <w:r>
              <w:t>46.0</w:t>
            </w:r>
          </w:p>
        </w:tc>
        <w:tc>
          <w:tcPr>
            <w:tcW w:type="dxa" w:w="2160"/>
          </w:tcPr>
          <w:p>
            <w:r>
              <w:t>59.4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47.9%</w:t>
            </w:r>
          </w:p>
        </w:tc>
        <w:tc>
          <w:tcPr>
            <w:tcW w:type="dxa" w:w="2160"/>
          </w:tcPr>
          <w:p>
            <w:r>
              <w:t>47.4%</w:t>
            </w:r>
          </w:p>
        </w:tc>
        <w:tc>
          <w:tcPr>
            <w:tcW w:type="dxa" w:w="2160"/>
          </w:tcPr>
          <w:p>
            <w:r>
              <w:t>51.5%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28.5</w:t>
            </w:r>
          </w:p>
        </w:tc>
        <w:tc>
          <w:tcPr>
            <w:tcW w:type="dxa" w:w="2160"/>
          </w:tcPr>
          <w:p>
            <w:r>
              <w:t>33.4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42.4%</w:t>
            </w:r>
          </w:p>
        </w:tc>
        <w:tc>
          <w:tcPr>
            <w:tcW w:type="dxa" w:w="2160"/>
          </w:tcPr>
          <w:p>
            <w:r>
              <w:t>48.9%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81.7%</w:t>
            </w:r>
          </w:p>
        </w:tc>
        <w:tc>
          <w:tcPr>
            <w:tcW w:type="dxa" w:w="2160"/>
          </w:tcPr>
          <w:p>
            <w:r>
              <w:t>73.7%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