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Diabetes mellitus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LDL cholesterol, mg/dL was inversely associated with Diabetes mellitus (odds ratio per 1-SD 0.65 (95% CI 0.59 to 0.71), false discovery rate q &lt;0.001) among 25660 adults aged 20 years or older (a weighted Diabetes mellitus prevalence of 12.6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0.65 (95% CI 0.59 to 0.71)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LDL cholesterol, mg/dL (exposure)</w:t>
            </w:r>
          </w:p>
        </w:tc>
        <w:tc>
          <w:tcPr>
            <w:tcW w:type="dxa" w:w="2160"/>
          </w:tcPr>
          <w:p>
            <w:r>
              <w:t>113.7</w:t>
            </w:r>
          </w:p>
        </w:tc>
        <w:tc>
          <w:tcPr>
            <w:tcW w:type="dxa" w:w="2160"/>
          </w:tcPr>
          <w:p>
            <w:r>
              <w:t>115.6</w:t>
            </w:r>
          </w:p>
        </w:tc>
        <w:tc>
          <w:tcPr>
            <w:tcW w:type="dxa" w:w="2160"/>
          </w:tcPr>
          <w:p>
            <w:r>
              <w:t>101.4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59.4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47.4%</w:t>
            </w:r>
          </w:p>
        </w:tc>
        <w:tc>
          <w:tcPr>
            <w:tcW w:type="dxa" w:w="2160"/>
          </w:tcPr>
          <w:p>
            <w:r>
              <w:t>51.5%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33.4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73.7%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