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muscle mass (low ASMI, AWGS cut) and Diastolic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Low muscle mass (low ASMI, AWGS cut) was inversely associated with Diastolic blood pressure, mmHg (beta coefficient -0.71 (95% CI -2.58 to 1.15), false discovery rate q 0.515) among 24727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-0.71 (95% CI -2.58 to 1.15)</w:t>
            </w:r>
          </w:p>
        </w:tc>
        <w:tc>
          <w:tcPr>
            <w:tcW w:type="dxa" w:w="1234"/>
          </w:tcPr>
          <w:p>
            <w:r>
              <w:t>0.457</w:t>
            </w:r>
          </w:p>
        </w:tc>
        <w:tc>
          <w:tcPr>
            <w:tcW w:type="dxa" w:w="1234"/>
          </w:tcPr>
          <w:p>
            <w:r>
              <w:t>0.515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muscle mass (low ASMI, AWGS cut) (exposure)</w:t>
            </w:r>
          </w:p>
        </w:tc>
        <w:tc>
          <w:tcPr>
            <w:tcW w:type="dxa" w:w="4320"/>
          </w:tcPr>
          <w:p>
            <w:r>
              <w:t>3.2%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