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Dyslipidemia (KSoLA composite) (odds ratio 1.07 (95% CI 0.94 to 1.21), false discovery rate q 0.369)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0.94 to 1.21)</w:t>
            </w:r>
          </w:p>
        </w:tc>
        <w:tc>
          <w:tcPr>
            <w:tcW w:type="dxa" w:w="1234"/>
          </w:tcPr>
          <w:p>
            <w:r>
              <w:t>0.315</w:t>
            </w:r>
          </w:p>
        </w:tc>
        <w:tc>
          <w:tcPr>
            <w:tcW w:type="dxa" w:w="1234"/>
          </w:tcPr>
          <w:p>
            <w:r>
              <w:t>0.369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