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Dyslipidemia (KSoLA composite) (odds ratio per 1-SD 2.14 (95% CI 1.92 to 2.38), false discovery rate q &lt;0.001) among 25412 adults aged 20 years or older (a weighted Dyslipidemia (KSoLA composite) prevalence of 51.7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2.14 (95% CI 1.92 to 2.38)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33.1</w:t>
            </w:r>
          </w:p>
        </w:tc>
        <w:tc>
          <w:tcPr>
            <w:tcW w:type="dxa" w:w="2160"/>
          </w:tcPr>
          <w:p>
            <w:r>
              <w:t>31.5</w:t>
            </w:r>
          </w:p>
        </w:tc>
        <w:tc>
          <w:tcPr>
            <w:tcW w:type="dxa" w:w="2160"/>
          </w:tcPr>
          <w:p>
            <w:r>
              <w:t>35.1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