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Dyslipidemia (KSoLA composite)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Central obesity (WHtR&gt;=0.5) was positively associated with Dyslipidemia (KSoLA composite) (odds ratio 3.85 (95% CI 3.43 to 4.32), false discovery rate q &lt;0.001) among 25412 adults aged 20 years or older (a weighted Dyslipidemia (KSoLA composite) prevalence of 51.7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3.85 (95% CI 3.43 to 4.32)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Central obesity (WHtR&gt;=0.5) (exposure)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70.6%</w:t>
            </w:r>
          </w:p>
        </w:tc>
        <w:tc>
          <w:tcPr>
            <w:tcW w:type="dxa" w:w="2160"/>
          </w:tcPr>
          <w:p>
            <w:r>
              <w:t>92.0%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  <w:tc>
          <w:tcPr>
            <w:tcW w:type="dxa" w:w="2160"/>
          </w:tcPr>
          <w:p>
            <w:r>
              <w:t>51.4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27.4</w:t>
            </w:r>
          </w:p>
        </w:tc>
        <w:tc>
          <w:tcPr>
            <w:tcW w:type="dxa" w:w="2160"/>
          </w:tcPr>
          <w:p>
            <w:r>
              <w:t>30.7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40.2%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83.1%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