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Chronic kidney disease (KDIGO: eGFR&lt;60 or ACR&gt;=30) and Dyslipidemia (KSoLA composite)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Chronic kidney disease (KDIGO: eGFR&lt;60 or ACR&gt;=30) was positively associated with Dyslipidemia (KSoLA composite) (odds ratio 1.29 (95% CI 1.14 to 1.46), false discovery rate q &lt;0.001) among 25412 adults aged 20 years or older (a weighted Dyslipidemia (KSoLA composite) prevalence of 51.7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1.29 (95% CI 1.14 to 1.46)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25412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Dyslipidemia (KSoLA composite)</w:t>
            </w:r>
          </w:p>
        </w:tc>
        <w:tc>
          <w:tcPr>
            <w:tcW w:type="dxa" w:w="2160"/>
          </w:tcPr>
          <w:p>
            <w:r>
              <w:t>Dyslipidemia (KSoLA composite)</w:t>
            </w:r>
          </w:p>
        </w:tc>
      </w:tr>
      <w:tr>
        <w:tc>
          <w:tcPr>
            <w:tcW w:type="dxa" w:w="2160"/>
          </w:tcPr>
          <w:p>
            <w:r>
              <w:t>Chronic kidney disease (KDIGO: eGFR&lt;60 or ACR&gt;=30) (exposure)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9.3%</w:t>
            </w:r>
          </w:p>
        </w:tc>
        <w:tc>
          <w:tcPr>
            <w:tcW w:type="dxa" w:w="2160"/>
          </w:tcPr>
          <w:p>
            <w:r>
              <w:t>16.9%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  <w:tc>
          <w:tcPr>
            <w:tcW w:type="dxa" w:w="2160"/>
          </w:tcPr>
          <w:p>
            <w:r>
              <w:t>51.4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49.1%</w:t>
            </w:r>
          </w:p>
        </w:tc>
        <w:tc>
          <w:tcPr>
            <w:tcW w:type="dxa" w:w="2160"/>
          </w:tcPr>
          <w:p>
            <w:r>
              <w:t>47.1%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27.4</w:t>
            </w:r>
          </w:p>
        </w:tc>
        <w:tc>
          <w:tcPr>
            <w:tcW w:type="dxa" w:w="2160"/>
          </w:tcPr>
          <w:p>
            <w:r>
              <w:t>30.7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40.2%</w:t>
            </w:r>
          </w:p>
        </w:tc>
        <w:tc>
          <w:tcPr>
            <w:tcW w:type="dxa" w:w="2160"/>
          </w:tcPr>
          <w:p>
            <w:r>
              <w:t>46.3%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83.1%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