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Dyslipidemia (KSoLA composite) (odds ratio per 1-SD 1.33 (95% CI 1.14 to 1.55), false discovery rate q 0.009) among 25412 adults aged 20 years or older (a weighted Dyslipidemia (KSoLA composite) prevalence of 51.7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1.33 (95% CI 1.14 to 1.55)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Controlled attenuation parameter, dB/m (exposure)</w:t>
            </w:r>
          </w:p>
        </w:tc>
        <w:tc>
          <w:tcPr>
            <w:tcW w:type="dxa" w:w="2160"/>
          </w:tcPr>
          <w:p>
            <w:r>
              <w:t>263.5</w:t>
            </w:r>
          </w:p>
        </w:tc>
        <w:tc>
          <w:tcPr>
            <w:tcW w:type="dxa" w:w="2160"/>
          </w:tcPr>
          <w:p>
            <w:r>
              <w:t>248.0</w:t>
            </w:r>
          </w:p>
        </w:tc>
        <w:tc>
          <w:tcPr>
            <w:tcW w:type="dxa" w:w="2160"/>
          </w:tcPr>
          <w:p>
            <w:r>
              <w:t>279.5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