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Dyslipidemia (KSoLA composite) (odds ratio 1.48 (95% CI 1.35 to 1.62), false discovery rate q &lt;0.001) among 25412 adults aged 20 years or older (a weighted Dyslipidemia (KSoLA composite) prevalence of 51.7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1.35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18.6%</w:t>
            </w:r>
          </w:p>
        </w:tc>
        <w:tc>
          <w:tcPr>
            <w:tcW w:type="dxa" w:w="2160"/>
          </w:tcPr>
          <w:p>
            <w:r>
              <w:t>20.1%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