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Dyslipidemia (KSoLA composite) (odds ratio per 1-SD 1.04 (95% CI 1.00 to 1.08), false discovery rate q 0.110) among 25412 adults aged 20 years or older (a weighted Dyslipidemia (KSoLA composite) prevalence of 51.7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1.00 to 1.08)</w:t>
            </w:r>
          </w:p>
        </w:tc>
        <w:tc>
          <w:tcPr>
            <w:tcW w:type="dxa" w:w="1234"/>
          </w:tcPr>
          <w:p>
            <w:r>
              <w:t>0.084</w:t>
            </w:r>
          </w:p>
        </w:tc>
        <w:tc>
          <w:tcPr>
            <w:tcW w:type="dxa" w:w="1234"/>
          </w:tcPr>
          <w:p>
            <w:r>
              <w:t>0.110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71.5</w:t>
            </w:r>
          </w:p>
        </w:tc>
        <w:tc>
          <w:tcPr>
            <w:tcW w:type="dxa" w:w="2160"/>
          </w:tcPr>
          <w:p>
            <w:r>
              <w:t>70.9</w:t>
            </w:r>
          </w:p>
        </w:tc>
        <w:tc>
          <w:tcPr>
            <w:tcW w:type="dxa" w:w="2160"/>
          </w:tcPr>
          <w:p>
            <w:r>
              <w:t>72.1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