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Dyslipidemia (KSoLA composite) (odds ratio per 1-SD 0.96 (95% CI 0.90 to 1.03), false discovery rate q 0.310)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0.90 to 1.03)</w:t>
            </w:r>
          </w:p>
        </w:tc>
        <w:tc>
          <w:tcPr>
            <w:tcW w:type="dxa" w:w="1234"/>
          </w:tcPr>
          <w:p>
            <w:r>
              <w:t>0.259</w:t>
            </w:r>
          </w:p>
        </w:tc>
        <w:tc>
          <w:tcPr>
            <w:tcW w:type="dxa" w:w="1234"/>
          </w:tcPr>
          <w:p>
            <w:r>
              <w:t>0.310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96.1</w:t>
            </w:r>
          </w:p>
        </w:tc>
        <w:tc>
          <w:tcPr>
            <w:tcW w:type="dxa" w:w="2160"/>
          </w:tcPr>
          <w:p>
            <w:r>
              <w:t>99.6</w:t>
            </w:r>
          </w:p>
        </w:tc>
        <w:tc>
          <w:tcPr>
            <w:tcW w:type="dxa" w:w="2160"/>
          </w:tcPr>
          <w:p>
            <w:r>
              <w:t>92.9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