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Dyslipidemia (KSoLA composite) (odds ratio per 1-SD 0.98 (95% CI 0.91 to 1.05), false discovery rate q 0.635)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0.91 to 1.05)</w:t>
            </w:r>
          </w:p>
        </w:tc>
        <w:tc>
          <w:tcPr>
            <w:tcW w:type="dxa" w:w="1234"/>
          </w:tcPr>
          <w:p>
            <w:r>
              <w:t>0.584</w:t>
            </w:r>
          </w:p>
        </w:tc>
        <w:tc>
          <w:tcPr>
            <w:tcW w:type="dxa" w:w="1234"/>
          </w:tcPr>
          <w:p>
            <w:r>
              <w:t>0.635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