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Dyslipidemia (KSoLA composite)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Hemoglobin, g/dL was positively associated with Dyslipidemia (KSoLA composite) (odds ratio per 1-SD 1.12 (95% CI 1.07 to 1.17), false discovery rate q &lt;0.001) among 25412 adults aged 20 years or older (a weighted Dyslipidemia (KSoLA composite) prevalence of 51.7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1.12 (95% CI 1.07 to 1.17)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Dyslipidemia (KSoLA composite)</w:t>
            </w:r>
          </w:p>
        </w:tc>
        <w:tc>
          <w:tcPr>
            <w:tcW w:type="dxa" w:w="2160"/>
          </w:tcPr>
          <w:p>
            <w:r>
              <w:t>Dyslipidemia (KSoLA composite)</w:t>
            </w:r>
          </w:p>
        </w:tc>
      </w:tr>
      <w:tr>
        <w:tc>
          <w:tcPr>
            <w:tcW w:type="dxa" w:w="2160"/>
          </w:tcPr>
          <w:p>
            <w:r>
              <w:t>Hemoglobin, g/dL (exposure)</w:t>
            </w:r>
          </w:p>
        </w:tc>
        <w:tc>
          <w:tcPr>
            <w:tcW w:type="dxa" w:w="2160"/>
          </w:tcPr>
          <w:p>
            <w:r>
              <w:t>14.2</w:t>
            </w:r>
          </w:p>
        </w:tc>
        <w:tc>
          <w:tcPr>
            <w:tcW w:type="dxa" w:w="2160"/>
          </w:tcPr>
          <w:p>
            <w:r>
              <w:t>14.2</w:t>
            </w:r>
          </w:p>
        </w:tc>
        <w:tc>
          <w:tcPr>
            <w:tcW w:type="dxa" w:w="2160"/>
          </w:tcPr>
          <w:p>
            <w:r>
              <w:t>14.2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  <w:tc>
          <w:tcPr>
            <w:tcW w:type="dxa" w:w="2160"/>
          </w:tcPr>
          <w:p>
            <w:r>
              <w:t>51.4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47.1%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27.4</w:t>
            </w:r>
          </w:p>
        </w:tc>
        <w:tc>
          <w:tcPr>
            <w:tcW w:type="dxa" w:w="2160"/>
          </w:tcPr>
          <w:p>
            <w:r>
              <w:t>30.7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40.2%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83.1%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