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Dyslipidemia (KSoLA composite) (odds ratio 2.94 (95% CI 2.48 to 3.47), false discovery rate q &lt;0.001) among 25412 adults aged 20 years or older (a weighted Dyslipidemia (KSoLA composite) prevalence of 51.7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2.94 (95% CI 2.48 to 3.47)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  <w:tc>
          <w:tcPr>
            <w:tcW w:type="dxa" w:w="2160"/>
          </w:tcPr>
          <w:p>
            <w:r>
              <w:t>82.9%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