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Dyslipidemia (KSoLA composite) (odds ratio per 1-SD 0.97 (95% CI 0.89 to 1.05), false discovery rate q 0.512)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0.89 to 1.05)</w:t>
            </w:r>
          </w:p>
        </w:tc>
        <w:tc>
          <w:tcPr>
            <w:tcW w:type="dxa" w:w="1234"/>
          </w:tcPr>
          <w:p>
            <w:r>
              <w:t>0.453</w:t>
            </w:r>
          </w:p>
        </w:tc>
        <w:tc>
          <w:tcPr>
            <w:tcW w:type="dxa" w:w="1234"/>
          </w:tcPr>
          <w:p>
            <w:r>
              <w:t>0.512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