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Dyslipidemia (KSoLA composite) (odds ratio 2.45 (95% CI 2.27 to 2.64),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2.45 (95% CI 2.27 to 2.64)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Obesity (KSSO &gt;=25 / WHO &gt;=30, country-specific) (exposure)</w:t>
            </w:r>
          </w:p>
        </w:tc>
        <w:tc>
          <w:tcPr>
            <w:tcW w:type="dxa" w:w="2160"/>
          </w:tcPr>
          <w:p>
            <w:r>
              <w:t>37.0%</w:t>
            </w:r>
          </w:p>
        </w:tc>
        <w:tc>
          <w:tcPr>
            <w:tcW w:type="dxa" w:w="2160"/>
          </w:tcPr>
          <w:p>
            <w:r>
              <w:t>26.7%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