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Platelet count, 10^3/uL and Dyslipidemia (KSoLA composite)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Platelet count, 10^3/uL was positively associated with Dyslipidemia (KSoLA composite) (odds ratio per 1-SD 1.10 (95% CI 1.06 to 1.14), false discovery rate q &lt;0.001) among 25412 adults aged 20 years or older (a weighted Dyslipidemia (KSoLA composite) prevalence of 51.7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1.10 (95% CI 1.06 to 1.14)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25412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Dyslipidemia (KSoLA composite)</w:t>
            </w:r>
          </w:p>
        </w:tc>
        <w:tc>
          <w:tcPr>
            <w:tcW w:type="dxa" w:w="2160"/>
          </w:tcPr>
          <w:p>
            <w:r>
              <w:t>Dyslipidemia (KSoLA composite)</w:t>
            </w:r>
          </w:p>
        </w:tc>
      </w:tr>
      <w:tr>
        <w:tc>
          <w:tcPr>
            <w:tcW w:type="dxa" w:w="2160"/>
          </w:tcPr>
          <w:p>
            <w:r>
              <w:t>Platelet count, 10^3/uL (exposure)</w:t>
            </w:r>
          </w:p>
        </w:tc>
        <w:tc>
          <w:tcPr>
            <w:tcW w:type="dxa" w:w="2160"/>
          </w:tcPr>
          <w:p>
            <w:r>
              <w:t>249.4</w:t>
            </w:r>
          </w:p>
        </w:tc>
        <w:tc>
          <w:tcPr>
            <w:tcW w:type="dxa" w:w="2160"/>
          </w:tcPr>
          <w:p>
            <w:r>
              <w:t>246.4</w:t>
            </w:r>
          </w:p>
        </w:tc>
        <w:tc>
          <w:tcPr>
            <w:tcW w:type="dxa" w:w="2160"/>
          </w:tcPr>
          <w:p>
            <w:r>
              <w:t>252.2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43.8</w:t>
            </w:r>
          </w:p>
        </w:tc>
        <w:tc>
          <w:tcPr>
            <w:tcW w:type="dxa" w:w="2160"/>
          </w:tcPr>
          <w:p>
            <w:r>
              <w:t>51.4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49.1%</w:t>
            </w:r>
          </w:p>
        </w:tc>
        <w:tc>
          <w:tcPr>
            <w:tcW w:type="dxa" w:w="2160"/>
          </w:tcPr>
          <w:p>
            <w:r>
              <w:t>47.1%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27.4</w:t>
            </w:r>
          </w:p>
        </w:tc>
        <w:tc>
          <w:tcPr>
            <w:tcW w:type="dxa" w:w="2160"/>
          </w:tcPr>
          <w:p>
            <w:r>
              <w:t>30.7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40.2%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83.1%</w:t>
            </w:r>
          </w:p>
        </w:tc>
        <w:tc>
          <w:tcPr>
            <w:tcW w:type="dxa" w:w="2160"/>
          </w:tcPr>
          <w:p>
            <w:r>
              <w:t>78.5%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