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Dyslipidemia (KSoLA composite)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Prediabetes was positively associated with Dyslipidemia (KSoLA composite) (odds ratio 1.21 (95% CI 1.11 to 1.31), false discovery rate q &lt;0.001) among 25412 adults aged 20 years or older (a weighted Dyslipidemia (KSoLA composite) prevalence of 51.7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1.21 (95% CI 1.11 to 1.31)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Dyslipidemia (KSoLA composite)</w:t>
            </w:r>
          </w:p>
        </w:tc>
        <w:tc>
          <w:tcPr>
            <w:tcW w:type="dxa" w:w="2160"/>
          </w:tcPr>
          <w:p>
            <w:r>
              <w:t>Dyslipidemia (KSoLA composite)</w:t>
            </w:r>
          </w:p>
        </w:tc>
      </w:tr>
      <w:tr>
        <w:tc>
          <w:tcPr>
            <w:tcW w:type="dxa" w:w="2160"/>
          </w:tcPr>
          <w:p>
            <w:r>
              <w:t>Prediabetes (exposure)</w:t>
            </w:r>
          </w:p>
        </w:tc>
        <w:tc>
          <w:tcPr>
            <w:tcW w:type="dxa" w:w="2160"/>
          </w:tcPr>
          <w:p>
            <w:r>
              <w:t>32.5%</w:t>
            </w:r>
          </w:p>
        </w:tc>
        <w:tc>
          <w:tcPr>
            <w:tcW w:type="dxa" w:w="2160"/>
          </w:tcPr>
          <w:p>
            <w:r>
              <w:t>27.7%</w:t>
            </w:r>
          </w:p>
        </w:tc>
        <w:tc>
          <w:tcPr>
            <w:tcW w:type="dxa" w:w="2160"/>
          </w:tcPr>
          <w:p>
            <w:r>
              <w:t>37.1%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  <w:tc>
          <w:tcPr>
            <w:tcW w:type="dxa" w:w="2160"/>
          </w:tcPr>
          <w:p>
            <w:r>
              <w:t>51.4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47.1%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27.4</w:t>
            </w:r>
          </w:p>
        </w:tc>
        <w:tc>
          <w:tcPr>
            <w:tcW w:type="dxa" w:w="2160"/>
          </w:tcPr>
          <w:p>
            <w:r>
              <w:t>30.7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40.2%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83.1%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