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Dyslipidemia (KSoLA composite) (odds ratio per 1-SD 1.05 (95% CI 1.00 to 1.09), false discovery rate q 0.061)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1.00 to 1.09)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122.6</w:t>
            </w:r>
          </w:p>
        </w:tc>
        <w:tc>
          <w:tcPr>
            <w:tcW w:type="dxa" w:w="2160"/>
          </w:tcPr>
          <w:p>
            <w:r>
              <w:t>120.1</w:t>
            </w:r>
          </w:p>
        </w:tc>
        <w:tc>
          <w:tcPr>
            <w:tcW w:type="dxa" w:w="2160"/>
          </w:tcPr>
          <w:p>
            <w:r>
              <w:t>124.9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